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Arial"/>
          <w:sz w:val="28"/>
          <w:szCs w:val="28"/>
        </w:rPr>
      </w:pPr>
      <w:r>
        <w:rPr>
          <w:rFonts w:hint="eastAsia" w:ascii="黑体" w:hAnsi="黑体" w:eastAsia="黑体" w:cs="Arial"/>
          <w:sz w:val="28"/>
          <w:szCs w:val="28"/>
        </w:rPr>
        <w:t>附件5</w:t>
      </w:r>
    </w:p>
    <w:p>
      <w:pPr>
        <w:widowControl/>
        <w:jc w:val="center"/>
        <w:rPr>
          <w:rFonts w:ascii="宋体" w:hAnsi="宋体" w:cs="Arial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Arial"/>
          <w:kern w:val="0"/>
          <w:sz w:val="44"/>
          <w:szCs w:val="44"/>
        </w:rPr>
        <w:t>营口市异地就医登记备案表</w:t>
      </w:r>
      <w:bookmarkEnd w:id="0"/>
    </w:p>
    <w:p>
      <w:pPr>
        <w:widowControl/>
        <w:jc w:val="left"/>
        <w:rPr>
          <w:rFonts w:ascii="宋体" w:hAnsi="宋体" w:cs="Arial"/>
          <w:kern w:val="0"/>
        </w:rPr>
      </w:pPr>
    </w:p>
    <w:p>
      <w:pPr>
        <w:widowControl/>
        <w:jc w:val="left"/>
        <w:rPr>
          <w:rFonts w:ascii="宋体" w:hAnsi="宋体" w:cs="Arial"/>
          <w:kern w:val="0"/>
        </w:rPr>
      </w:pPr>
      <w:r>
        <w:rPr>
          <w:rFonts w:hint="eastAsia" w:ascii="宋体" w:hAnsi="宋体" w:cs="Arial"/>
          <w:kern w:val="0"/>
        </w:rPr>
        <w:t>备案编号：</w:t>
      </w:r>
    </w:p>
    <w:tbl>
      <w:tblPr>
        <w:tblStyle w:val="2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38"/>
        <w:gridCol w:w="1280"/>
        <w:gridCol w:w="894"/>
        <w:gridCol w:w="665"/>
        <w:gridCol w:w="286"/>
        <w:gridCol w:w="1559"/>
        <w:gridCol w:w="136"/>
        <w:gridCol w:w="716"/>
        <w:gridCol w:w="424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性别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身份证号码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人员类别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 xml:space="preserve">异地转诊 </w:t>
            </w:r>
            <w:r>
              <w:rPr>
                <w:rFonts w:hint="eastAsia" w:ascii="宋体" w:hAnsi="宋体" w:cs="Arial"/>
                <w:kern w:val="0"/>
              </w:rPr>
              <w:t>□</w:t>
            </w:r>
          </w:p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 xml:space="preserve">异地登记 </w:t>
            </w:r>
            <w:r>
              <w:rPr>
                <w:rFonts w:hint="eastAsia" w:ascii="宋体" w:hAnsi="宋体" w:cs="Arial"/>
                <w:kern w:val="0"/>
              </w:rPr>
              <w:t>□</w:t>
            </w:r>
          </w:p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 xml:space="preserve">异地居住 </w:t>
            </w:r>
            <w:r>
              <w:rPr>
                <w:rFonts w:hint="eastAsia" w:ascii="宋体" w:hAnsi="宋体" w:cs="Arial"/>
                <w:kern w:val="0"/>
              </w:rPr>
              <w:t>□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险种</w:t>
            </w: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1</w:t>
            </w:r>
            <w:r>
              <w:rPr>
                <w:rFonts w:hint="eastAsia" w:ascii="宋体" w:hAnsi="宋体" w:cs="Arial"/>
                <w:kern w:val="0"/>
              </w:rPr>
              <w:t>、职工医保  □</w:t>
            </w:r>
          </w:p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2</w:t>
            </w:r>
            <w:r>
              <w:rPr>
                <w:rFonts w:hint="eastAsia" w:ascii="宋体" w:hAnsi="宋体" w:cs="Arial"/>
                <w:kern w:val="0"/>
              </w:rPr>
              <w:t>、城乡居民医保  □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登记的类型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 xml:space="preserve">1、新增 </w:t>
            </w:r>
            <w:r>
              <w:rPr>
                <w:rFonts w:hint="eastAsia" w:ascii="宋体" w:hAnsi="宋体" w:cs="Arial"/>
                <w:kern w:val="0"/>
              </w:rPr>
              <w:t>□</w:t>
            </w:r>
          </w:p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2</w:t>
            </w:r>
            <w:r>
              <w:rPr>
                <w:rFonts w:hint="eastAsia" w:ascii="宋体" w:hAnsi="宋体" w:cs="Arial"/>
                <w:kern w:val="0"/>
              </w:rPr>
              <w:t>、延续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社会保障卡号</w:t>
            </w:r>
          </w:p>
        </w:tc>
        <w:tc>
          <w:tcPr>
            <w:tcW w:w="326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转诊就诊      时间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ind w:firstLine="630" w:firstLineChars="300"/>
              <w:jc w:val="left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参保地家庭住址</w:t>
            </w:r>
          </w:p>
        </w:tc>
        <w:tc>
          <w:tcPr>
            <w:tcW w:w="728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ind w:firstLine="420" w:firstLineChars="200"/>
              <w:jc w:val="left"/>
              <w:rPr>
                <w:rFonts w:ascii="仿宋" w:hAnsi="仿宋" w:cs="Arial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联系电话1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联系电话2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</w:rPr>
              <w:t>联系电话3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转往省（市、区）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地区（市、州）</w:t>
            </w:r>
          </w:p>
        </w:tc>
        <w:tc>
          <w:tcPr>
            <w:tcW w:w="2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1" w:hRule="atLeast"/>
        </w:trPr>
        <w:tc>
          <w:tcPr>
            <w:tcW w:w="85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</w:p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注意事项</w:t>
            </w:r>
          </w:p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</w:p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1</w:t>
            </w:r>
            <w:r>
              <w:rPr>
                <w:rFonts w:hint="eastAsia" w:ascii="宋体" w:hAnsi="宋体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、通过全国异地就医直接结算平台结算的，执行就医地目录</w:t>
            </w:r>
            <w:r>
              <w:rPr>
                <w:rFonts w:hint="eastAsia"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、参保地起付线封顶线及支付比例。因各地目录差异，直接结算可能会与参保地报销存在待遇差，属于正常现象。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、办理备案时直接备案到定点医疗机构所在市（包括地级市和直辖市）</w:t>
            </w:r>
            <w:r>
              <w:rPr>
                <w:rFonts w:hint="eastAsia"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若转外就医需再次转院时，由就医医院提出转出意见，否则不予结算医疗费用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异地转诊住院应在</w:t>
            </w:r>
            <w:r>
              <w:rPr>
                <w:rFonts w:hint="eastAsia"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1年</w:t>
            </w:r>
            <w:r>
              <w:rPr>
                <w:rFonts w:hint="eastAsia" w:ascii="宋体" w:hAnsi="宋体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内办理住院，异地登记住院应在30天内办理住院，否则，不予结算医疗费用。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4、异地就医住院未按规定办理登记备案手续</w:t>
            </w:r>
            <w:r>
              <w:rPr>
                <w:rFonts w:hint="eastAsia"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，或在非医保定点医疗机构发生的医疗费用，不予结算。</w:t>
            </w:r>
          </w:p>
          <w:p>
            <w:pPr>
              <w:widowControl/>
              <w:ind w:firstLine="405"/>
              <w:jc w:val="left"/>
              <w:rPr>
                <w:rFonts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5、其他需要说明的事项（含是否需要连续治疗）。    </w:t>
            </w:r>
          </w:p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</w:p>
          <w:p>
            <w:pPr>
              <w:widowControl/>
              <w:jc w:val="left"/>
              <w:rPr>
                <w:rFonts w:ascii="仿宋" w:hAnsi="仿宋" w:cs="Arial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本人（委托人）签名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填表日期</w:t>
            </w:r>
          </w:p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 xml:space="preserve">   年   月   日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转诊有效期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ind w:left="1155" w:hanging="1155" w:hangingChars="550"/>
              <w:jc w:val="center"/>
              <w:rPr>
                <w:rFonts w:ascii="仿宋" w:hAnsi="仿宋" w:cs="Arial"/>
                <w:kern w:val="0"/>
              </w:rPr>
            </w:pPr>
            <w:r>
              <w:rPr>
                <w:rFonts w:hint="eastAsia" w:ascii="仿宋" w:hAnsi="仿宋" w:cs="Arial"/>
                <w:kern w:val="0"/>
              </w:rPr>
              <w:t>截止至：  年  月  日</w:t>
            </w:r>
          </w:p>
        </w:tc>
      </w:tr>
    </w:tbl>
    <w:p>
      <w:pPr>
        <w:widowControl/>
        <w:jc w:val="left"/>
        <w:rPr>
          <w:rFonts w:ascii="宋体" w:hAnsi="宋体" w:cs="Arial"/>
          <w:kern w:val="0"/>
        </w:rPr>
      </w:pPr>
      <w:r>
        <w:rPr>
          <w:rFonts w:hint="eastAsia" w:ascii="宋体" w:hAnsi="宋体" w:cs="Arial"/>
          <w:kern w:val="0"/>
        </w:rPr>
        <w:t>经办机构及联系电话：             经办人：                 经办日期：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24CA"/>
    <w:rsid w:val="066B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2020-08-24T07:03:00Z</dcterms:created>
  <dc:creator>Lenovo</dc:creator>
  <cp:lastModifiedBy>Lenovo</cp:lastModifiedBy>
  <dcterms:modified xsi:type="dcterms:W3CDTF">2020-08-24T07:03:55Z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