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widowControl/>
        <w:jc w:val="center"/>
        <w:rPr>
          <w:rFonts w:ascii="仿宋" w:hAnsi="仿宋" w:cs="Arial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Arial"/>
          <w:kern w:val="0"/>
          <w:sz w:val="44"/>
          <w:szCs w:val="44"/>
        </w:rPr>
        <w:t>营口市转外定点医疗机构推荐名单</w:t>
      </w:r>
      <w:bookmarkEnd w:id="0"/>
    </w:p>
    <w:p>
      <w:pPr>
        <w:widowControl/>
        <w:rPr>
          <w:rFonts w:ascii="仿宋" w:hAnsi="仿宋" w:cs="Arial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黑体" w:eastAsia="黑体" w:cs="Arial"/>
          <w:kern w:val="0"/>
          <w:sz w:val="44"/>
          <w:szCs w:val="44"/>
        </w:rPr>
      </w:pPr>
      <w:r>
        <w:rPr>
          <w:rFonts w:hint="eastAsia" w:ascii="黑体" w:eastAsia="黑体" w:cs="Arial"/>
          <w:kern w:val="0"/>
          <w:sz w:val="32"/>
          <w:szCs w:val="32"/>
        </w:rPr>
        <w:t>一、</w:t>
      </w:r>
      <w:r>
        <w:rPr>
          <w:rFonts w:hint="eastAsia" w:ascii="黑体" w:eastAsia="黑体"/>
          <w:kern w:val="0"/>
          <w:sz w:val="32"/>
          <w:szCs w:val="32"/>
        </w:rPr>
        <w:t>省外定点医疗机构（34所）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中国医学科学院肿瘤医院、北京协和医院、北京阜外医院、北京广安门中医院、中国医学科学院血液病医院（天津血液病医院）、北京中日友好医院（6所）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中国人民解放军陆军总医院（301，含海南分院）、中国人民解放军海军总医院、中国人民解放军空军总医院、中国人民解放军305医院、中国人民解放军302医院、中国人民解放军304医院、中国人民解放军307医院、中国人民解放军309医院、中国人民解放军二炮总医院、中国人民武装警察部队总医院、北京军区总医院（11所）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北京大学第一医院、北京大学人民医院、北京大学第三医院、北京大学肿瘤医院（4所）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首都医科大学附属北京同仁医院、北京安贞医院、北京天坛医院、北京积水潭医院、北京儿童医院、北京宣武医院、北京佑安医院、北京友谊医院（8所）</w:t>
      </w:r>
    </w:p>
    <w:p>
      <w:pPr>
        <w:widowControl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上海东方肝胆医院、上海复旦大学附属中山医院、上海交通大学附属仁济医院、上海肺病专科医院（4所）</w:t>
      </w:r>
    </w:p>
    <w:p>
      <w:pPr>
        <w:widowControl/>
        <w:ind w:firstLine="640" w:firstLineChars="20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天津市肿瘤医院（1所）</w:t>
      </w:r>
    </w:p>
    <w:p>
      <w:pPr>
        <w:widowControl/>
        <w:ind w:firstLine="640" w:firstLineChars="200"/>
        <w:jc w:val="left"/>
        <w:rPr>
          <w:rFonts w:ascii="黑体" w:eastAsia="黑体" w:cs="Arial"/>
          <w:kern w:val="0"/>
          <w:sz w:val="32"/>
          <w:szCs w:val="32"/>
        </w:rPr>
      </w:pPr>
      <w:r>
        <w:rPr>
          <w:rFonts w:hint="eastAsia" w:ascii="黑体" w:eastAsia="黑体" w:cs="Arial"/>
          <w:kern w:val="0"/>
          <w:sz w:val="32"/>
          <w:szCs w:val="32"/>
        </w:rPr>
        <w:t>二、省内定点医疗机构（20所）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中国医科大学附属第一医院、盛京医院、第四医院、口腔医院（4所）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大连医科大学附属第一医院、第二医院（2所）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辽宁中医药大学附属第一医院、第二医院（2所）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辽宁省人民医院、辽宁省肿瘤医院、辽宁省精神卫生中心（3所）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中国人民解放军北方战区总医院、第463医院（2所）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沈阳医学院附属中心医院、沈阳市第四医院（仅限眼科、耳鼻喉科）、沈阳市第六人民医院（仅限传染病）、沈阳市第七人民医院（仅限皮肤病）、沈阳市第十人民医院（仅限结核病）（5所）</w:t>
      </w:r>
    </w:p>
    <w:p>
      <w:pPr>
        <w:widowControl/>
        <w:ind w:firstLine="66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锦州医科大学附属一院、二院（2所）</w:t>
      </w:r>
    </w:p>
    <w:p>
      <w:pPr>
        <w:ind w:firstLine="645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特殊情况须经医保经办机构讨论决定转往医疗机构。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B6CAD"/>
    <w:rsid w:val="587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2020-08-24T07:03:00Z</dcterms:created>
  <dc:creator>Lenovo</dc:creator>
  <cp:lastModifiedBy>Lenovo</cp:lastModifiedBy>
  <dcterms:modified xsi:type="dcterms:W3CDTF">2020-08-24T07:03:29Z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